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501498" w:rsidRPr="00335593" w:rsidRDefault="00501498" w:rsidP="00501498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 w:rsidRPr="00335593">
        <w:rPr>
          <w:rFonts w:ascii="Garamond" w:hAnsi="Garamond"/>
          <w:b/>
          <w:sz w:val="28"/>
          <w:szCs w:val="28"/>
        </w:rPr>
        <w:t xml:space="preserve">FNP se habilita como </w:t>
      </w:r>
      <w:proofErr w:type="spellStart"/>
      <w:r w:rsidRPr="00335593">
        <w:rPr>
          <w:rFonts w:ascii="Garamond" w:hAnsi="Garamond"/>
          <w:b/>
          <w:sz w:val="28"/>
          <w:szCs w:val="28"/>
        </w:rPr>
        <w:t>amicus</w:t>
      </w:r>
      <w:proofErr w:type="spellEnd"/>
      <w:r w:rsidRPr="00335593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335593">
        <w:rPr>
          <w:rFonts w:ascii="Garamond" w:hAnsi="Garamond"/>
          <w:b/>
          <w:sz w:val="28"/>
          <w:szCs w:val="28"/>
        </w:rPr>
        <w:t>curiae</w:t>
      </w:r>
      <w:proofErr w:type="spellEnd"/>
      <w:r w:rsidRPr="00335593">
        <w:rPr>
          <w:rFonts w:ascii="Garamond" w:hAnsi="Garamond"/>
          <w:b/>
          <w:sz w:val="28"/>
          <w:szCs w:val="28"/>
        </w:rPr>
        <w:t xml:space="preserve"> em ação que pede revisão do FPE</w:t>
      </w: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Recentemente 12 </w:t>
      </w:r>
      <w:r w:rsidR="00410063">
        <w:rPr>
          <w:rFonts w:ascii="Garamond" w:hAnsi="Garamond"/>
          <w:sz w:val="28"/>
          <w:szCs w:val="28"/>
        </w:rPr>
        <w:t>e</w:t>
      </w:r>
      <w:r>
        <w:rPr>
          <w:rFonts w:ascii="Garamond" w:hAnsi="Garamond"/>
          <w:sz w:val="28"/>
          <w:szCs w:val="28"/>
        </w:rPr>
        <w:t xml:space="preserve">stados da Federação ajuizaram ação cível originária perante o Supremo Tribunal Federal </w:t>
      </w:r>
      <w:r w:rsidR="00410063">
        <w:rPr>
          <w:rFonts w:ascii="Garamond" w:hAnsi="Garamond"/>
          <w:sz w:val="28"/>
          <w:szCs w:val="28"/>
        </w:rPr>
        <w:t xml:space="preserve">(STF) </w:t>
      </w:r>
      <w:r>
        <w:rPr>
          <w:rFonts w:ascii="Garamond" w:hAnsi="Garamond"/>
          <w:sz w:val="28"/>
          <w:szCs w:val="28"/>
        </w:rPr>
        <w:t xml:space="preserve">contestando a </w:t>
      </w:r>
      <w:r w:rsidR="00D81CA2">
        <w:rPr>
          <w:rFonts w:ascii="Garamond" w:hAnsi="Garamond"/>
          <w:sz w:val="28"/>
          <w:szCs w:val="28"/>
        </w:rPr>
        <w:t xml:space="preserve">ausência de transparência na </w:t>
      </w:r>
      <w:r>
        <w:rPr>
          <w:rFonts w:ascii="Garamond" w:hAnsi="Garamond"/>
          <w:sz w:val="28"/>
          <w:szCs w:val="28"/>
        </w:rPr>
        <w:t>metodologia de cálculo do Fundo de Participação dos Estados</w:t>
      </w:r>
      <w:r w:rsidR="00410063">
        <w:rPr>
          <w:rFonts w:ascii="Garamond" w:hAnsi="Garamond"/>
          <w:sz w:val="28"/>
          <w:szCs w:val="28"/>
        </w:rPr>
        <w:t xml:space="preserve"> (FPE)</w:t>
      </w:r>
      <w:r>
        <w:rPr>
          <w:rFonts w:ascii="Garamond" w:hAnsi="Garamond"/>
          <w:sz w:val="28"/>
          <w:szCs w:val="28"/>
        </w:rPr>
        <w:t xml:space="preserve"> em impostos arrecadados pela União, nos termos do art. 159 da Constituição da República (Imposto de </w:t>
      </w:r>
      <w:r w:rsidR="00410063">
        <w:rPr>
          <w:rFonts w:ascii="Garamond" w:hAnsi="Garamond"/>
          <w:sz w:val="28"/>
          <w:szCs w:val="28"/>
        </w:rPr>
        <w:t>Renda - IR e Imposto sobre Produtos I</w:t>
      </w:r>
      <w:r>
        <w:rPr>
          <w:rFonts w:ascii="Garamond" w:hAnsi="Garamond"/>
          <w:sz w:val="28"/>
          <w:szCs w:val="28"/>
        </w:rPr>
        <w:t>ndustrializados – IPI).</w:t>
      </w: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501498" w:rsidRDefault="00410063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A secretaria de Fazenda d</w:t>
      </w:r>
      <w:r w:rsidR="00501498">
        <w:rPr>
          <w:rFonts w:ascii="Garamond" w:hAnsi="Garamond"/>
          <w:sz w:val="28"/>
          <w:szCs w:val="28"/>
        </w:rPr>
        <w:t xml:space="preserve">e Minas Gerais realizou auditoria parcial nos repasses da União relativos aos valores entregues via </w:t>
      </w:r>
      <w:r>
        <w:rPr>
          <w:rFonts w:ascii="Garamond" w:hAnsi="Garamond"/>
          <w:sz w:val="28"/>
          <w:szCs w:val="28"/>
        </w:rPr>
        <w:t>FPE</w:t>
      </w:r>
      <w:r w:rsidR="00501498">
        <w:rPr>
          <w:rFonts w:ascii="Garamond" w:hAnsi="Garamond"/>
          <w:sz w:val="28"/>
          <w:szCs w:val="28"/>
        </w:rPr>
        <w:t xml:space="preserve">, </w:t>
      </w:r>
      <w:r w:rsidR="00D81CA2">
        <w:rPr>
          <w:rFonts w:ascii="Garamond" w:hAnsi="Garamond"/>
          <w:sz w:val="28"/>
          <w:szCs w:val="28"/>
        </w:rPr>
        <w:t>detectando falhas</w:t>
      </w:r>
      <w:r w:rsidR="00501498">
        <w:rPr>
          <w:rFonts w:ascii="Garamond" w:hAnsi="Garamond"/>
          <w:sz w:val="28"/>
          <w:szCs w:val="28"/>
        </w:rPr>
        <w:t xml:space="preserve">. </w:t>
      </w: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Após análise da pluralidade de códigos de arrecadação informados no </w:t>
      </w:r>
      <w:r w:rsidR="00410063">
        <w:rPr>
          <w:rFonts w:ascii="Garamond" w:hAnsi="Garamond"/>
          <w:sz w:val="28"/>
          <w:szCs w:val="28"/>
        </w:rPr>
        <w:t>site</w:t>
      </w:r>
      <w:r>
        <w:rPr>
          <w:rFonts w:ascii="Garamond" w:hAnsi="Garamond"/>
          <w:sz w:val="28"/>
          <w:szCs w:val="28"/>
        </w:rPr>
        <w:t xml:space="preserve"> da Receita Federal, relacionados às múltiplas formas de arrecadação do </w:t>
      </w:r>
      <w:r w:rsidR="00410063">
        <w:rPr>
          <w:rFonts w:ascii="Garamond" w:hAnsi="Garamond"/>
          <w:sz w:val="28"/>
          <w:szCs w:val="28"/>
        </w:rPr>
        <w:t>IR e do IPI</w:t>
      </w:r>
      <w:r>
        <w:rPr>
          <w:rFonts w:ascii="Garamond" w:hAnsi="Garamond"/>
          <w:sz w:val="28"/>
          <w:szCs w:val="28"/>
        </w:rPr>
        <w:t xml:space="preserve">, constatou-se que 92 códigos de arrecadação não foram contabilizados na lista daqueles informados pela </w:t>
      </w:r>
      <w:r w:rsidRPr="00410063">
        <w:rPr>
          <w:rFonts w:ascii="Garamond" w:hAnsi="Garamond"/>
          <w:sz w:val="28"/>
          <w:szCs w:val="28"/>
        </w:rPr>
        <w:t>Secretaria de M</w:t>
      </w:r>
      <w:r w:rsidR="00410063" w:rsidRPr="00410063">
        <w:rPr>
          <w:rFonts w:ascii="Garamond" w:hAnsi="Garamond"/>
          <w:sz w:val="28"/>
          <w:szCs w:val="28"/>
        </w:rPr>
        <w:t>a</w:t>
      </w:r>
      <w:r w:rsidRPr="00410063">
        <w:rPr>
          <w:rFonts w:ascii="Garamond" w:hAnsi="Garamond"/>
          <w:sz w:val="28"/>
          <w:szCs w:val="28"/>
        </w:rPr>
        <w:t>c</w:t>
      </w:r>
      <w:r w:rsidR="00410063" w:rsidRPr="00410063">
        <w:rPr>
          <w:rFonts w:ascii="Garamond" w:hAnsi="Garamond"/>
          <w:sz w:val="28"/>
          <w:szCs w:val="28"/>
        </w:rPr>
        <w:t>r</w:t>
      </w:r>
      <w:r w:rsidRPr="00410063">
        <w:rPr>
          <w:rFonts w:ascii="Garamond" w:hAnsi="Garamond"/>
          <w:sz w:val="28"/>
          <w:szCs w:val="28"/>
        </w:rPr>
        <w:t>o Avaliação Governamental</w:t>
      </w:r>
      <w:r>
        <w:rPr>
          <w:rFonts w:ascii="Garamond" w:hAnsi="Garamond"/>
          <w:sz w:val="28"/>
          <w:szCs w:val="28"/>
        </w:rPr>
        <w:t xml:space="preserve"> como integrantes da base de cálculo dos repasses. </w:t>
      </w: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Nesse sentido, a título de exemplo, apurou-se a possível existência de recursos arrecadados pela União, em parcelamento de IR e IPI, pendentes de reclassificação orçamentária e, por conseguinte, excluídos do montante de recursos reservados à partilha. </w:t>
      </w: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Os códigos de arrecadação não contemplados</w:t>
      </w:r>
      <w:r w:rsidR="00193A5B">
        <w:rPr>
          <w:rFonts w:ascii="Garamond" w:hAnsi="Garamond"/>
          <w:sz w:val="28"/>
          <w:szCs w:val="28"/>
        </w:rPr>
        <w:t xml:space="preserve"> na apuração</w:t>
      </w:r>
      <w:r>
        <w:rPr>
          <w:rFonts w:ascii="Garamond" w:hAnsi="Garamond"/>
          <w:sz w:val="28"/>
          <w:szCs w:val="28"/>
        </w:rPr>
        <w:t xml:space="preserve"> são os seguintes: receitas de recuperação de dívida ativa; regimes especiais; doações com abatimento da base de cálculo de IR e retenção de </w:t>
      </w:r>
      <w:proofErr w:type="gramStart"/>
      <w:r>
        <w:rPr>
          <w:rFonts w:ascii="Garamond" w:hAnsi="Garamond"/>
          <w:sz w:val="28"/>
          <w:szCs w:val="28"/>
        </w:rPr>
        <w:t>IR na</w:t>
      </w:r>
      <w:proofErr w:type="gramEnd"/>
      <w:r>
        <w:rPr>
          <w:rFonts w:ascii="Garamond" w:hAnsi="Garamond"/>
          <w:sz w:val="28"/>
          <w:szCs w:val="28"/>
        </w:rPr>
        <w:t xml:space="preserve"> fonte; pagamentos feitos a pessoas jurídicas por órgãos e entidades da administração indireta federal. Por óbvio, essas origens não afastam a natureza tributária desta receita, não podendo ser excluída da repartição tributária prevista na Constituição. </w:t>
      </w: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Os valores que estão sendo, potencialmente, calculados de forma errônea para os Estados-Membros, também impactam as receitas dos municipais, pois por determinação constitucional os </w:t>
      </w:r>
      <w:r w:rsidR="00C173E9">
        <w:rPr>
          <w:rFonts w:ascii="Garamond" w:hAnsi="Garamond"/>
          <w:sz w:val="28"/>
          <w:szCs w:val="28"/>
        </w:rPr>
        <w:t>m</w:t>
      </w:r>
      <w:r>
        <w:rPr>
          <w:rFonts w:ascii="Garamond" w:hAnsi="Garamond"/>
          <w:sz w:val="28"/>
          <w:szCs w:val="28"/>
        </w:rPr>
        <w:t xml:space="preserve">unicípios brasileiros também são contemplados na repartição tributária. </w:t>
      </w: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Como se sabe, a conferência da base de cálculo do Fundo de Participação nas receitas de impostos arrecadados pela União fica limitada aos registros administrativos e contábeis divulgados em sítios oficiais da Receita Federal, Tribunal de Contas da União, Banco do Brasil e Tesouro Nacional. </w:t>
      </w: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8.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193A5B">
        <w:rPr>
          <w:rFonts w:ascii="Garamond" w:hAnsi="Garamond"/>
          <w:sz w:val="28"/>
          <w:szCs w:val="28"/>
        </w:rPr>
        <w:t>Logo, p</w:t>
      </w:r>
      <w:r>
        <w:rPr>
          <w:rFonts w:ascii="Garamond" w:hAnsi="Garamond"/>
          <w:sz w:val="28"/>
          <w:szCs w:val="28"/>
        </w:rPr>
        <w:t xml:space="preserve">ara que haja auditoria completa sobre todos os valores repassados há que se ter acesso amplo e irrestrito aos sistemas informatizados da União que controlam </w:t>
      </w:r>
      <w:r w:rsidR="00C173E9">
        <w:rPr>
          <w:rFonts w:ascii="Garamond" w:hAnsi="Garamond"/>
          <w:sz w:val="28"/>
          <w:szCs w:val="28"/>
        </w:rPr>
        <w:t xml:space="preserve">FPE e o Fundo de Participação dos </w:t>
      </w:r>
      <w:r>
        <w:rPr>
          <w:rFonts w:ascii="Garamond" w:hAnsi="Garamond"/>
          <w:sz w:val="28"/>
          <w:szCs w:val="28"/>
        </w:rPr>
        <w:t>Municípios</w:t>
      </w:r>
      <w:r w:rsidR="00C173E9">
        <w:rPr>
          <w:rFonts w:ascii="Garamond" w:hAnsi="Garamond"/>
          <w:sz w:val="28"/>
          <w:szCs w:val="28"/>
        </w:rPr>
        <w:t xml:space="preserve"> (FPM)</w:t>
      </w:r>
      <w:r>
        <w:rPr>
          <w:rFonts w:ascii="Garamond" w:hAnsi="Garamond"/>
          <w:sz w:val="28"/>
          <w:szCs w:val="28"/>
        </w:rPr>
        <w:t xml:space="preserve">. </w:t>
      </w: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9.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Com efeito, a União tem o dever de divulgar amplamente esses dados, em decorrência dos princípios da publicidade e transparência. Os Estados e os Município</w:t>
      </w:r>
      <w:r w:rsidR="00193A5B">
        <w:rPr>
          <w:rFonts w:ascii="Garamond" w:hAnsi="Garamond"/>
          <w:sz w:val="28"/>
          <w:szCs w:val="28"/>
        </w:rPr>
        <w:t>s, na qualidade de titulares desses</w:t>
      </w:r>
      <w:r>
        <w:rPr>
          <w:rFonts w:ascii="Garamond" w:hAnsi="Garamond"/>
          <w:sz w:val="28"/>
          <w:szCs w:val="28"/>
        </w:rPr>
        <w:t xml:space="preserve"> recursos por determinação constitucional, têm direito subjetivo </w:t>
      </w:r>
      <w:r w:rsidR="00193A5B">
        <w:rPr>
          <w:rFonts w:ascii="Garamond" w:hAnsi="Garamond"/>
          <w:sz w:val="28"/>
          <w:szCs w:val="28"/>
        </w:rPr>
        <w:t>à fiscalização e controle dos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 xml:space="preserve"> dados. </w:t>
      </w: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501498" w:rsidRPr="00133FF9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10.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Na defesa do direito constitucional dos </w:t>
      </w:r>
      <w:r w:rsidR="00C173E9">
        <w:rPr>
          <w:rFonts w:ascii="Garamond" w:hAnsi="Garamond"/>
          <w:sz w:val="28"/>
          <w:szCs w:val="28"/>
        </w:rPr>
        <w:t>m</w:t>
      </w:r>
      <w:r>
        <w:rPr>
          <w:rFonts w:ascii="Garamond" w:hAnsi="Garamond"/>
          <w:sz w:val="28"/>
          <w:szCs w:val="28"/>
        </w:rPr>
        <w:t xml:space="preserve">unicípios ao recebimento integral das receitas decorrentes do Fundo de Participação, e busca de recursos financeiros que permitam o desenvolvimento das políticas públicas locais, a Frente Nacional de Prefeitos </w:t>
      </w:r>
      <w:r w:rsidR="00C173E9">
        <w:rPr>
          <w:rFonts w:ascii="Garamond" w:hAnsi="Garamond"/>
          <w:sz w:val="28"/>
          <w:szCs w:val="28"/>
        </w:rPr>
        <w:t xml:space="preserve">(FNP) </w:t>
      </w:r>
      <w:r>
        <w:rPr>
          <w:rFonts w:ascii="Garamond" w:hAnsi="Garamond"/>
          <w:sz w:val="28"/>
          <w:szCs w:val="28"/>
        </w:rPr>
        <w:t xml:space="preserve">decidiu habilitar-se como </w:t>
      </w:r>
      <w:proofErr w:type="spellStart"/>
      <w:r w:rsidRPr="00335593">
        <w:rPr>
          <w:rFonts w:ascii="Garamond" w:hAnsi="Garamond"/>
          <w:i/>
          <w:sz w:val="28"/>
          <w:szCs w:val="28"/>
        </w:rPr>
        <w:t>amicus</w:t>
      </w:r>
      <w:proofErr w:type="spellEnd"/>
      <w:r w:rsidRPr="00335593">
        <w:rPr>
          <w:rFonts w:ascii="Garamond" w:hAnsi="Garamond"/>
          <w:i/>
          <w:sz w:val="28"/>
          <w:szCs w:val="28"/>
        </w:rPr>
        <w:t xml:space="preserve"> </w:t>
      </w:r>
      <w:proofErr w:type="spellStart"/>
      <w:r w:rsidRPr="00335593">
        <w:rPr>
          <w:rFonts w:ascii="Garamond" w:hAnsi="Garamond"/>
          <w:i/>
          <w:sz w:val="28"/>
          <w:szCs w:val="28"/>
        </w:rPr>
        <w:t>curiae</w:t>
      </w:r>
      <w:proofErr w:type="spellEnd"/>
      <w:r>
        <w:rPr>
          <w:rFonts w:ascii="Garamond" w:hAnsi="Garamond"/>
          <w:sz w:val="28"/>
          <w:szCs w:val="28"/>
        </w:rPr>
        <w:t xml:space="preserve"> na ação civil originária – ACO – ajuizada pelos Estados-Membros em desfavor da União, pois eventual êxito na ação irá impactar positivamente no ingresso de novas receitas públicas. </w:t>
      </w: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501498" w:rsidRDefault="00501498" w:rsidP="0050149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501498" w:rsidRDefault="00501498" w:rsidP="00501498">
      <w:pPr>
        <w:spacing w:line="276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Brasília/DF, 20 de julho de 2018. </w:t>
      </w:r>
    </w:p>
    <w:p w:rsidR="00501498" w:rsidRDefault="00501498" w:rsidP="00501498">
      <w:pPr>
        <w:spacing w:line="276" w:lineRule="auto"/>
        <w:jc w:val="center"/>
        <w:rPr>
          <w:rFonts w:ascii="Garamond" w:hAnsi="Garamond"/>
          <w:sz w:val="28"/>
          <w:szCs w:val="28"/>
        </w:rPr>
      </w:pPr>
    </w:p>
    <w:p w:rsidR="00501498" w:rsidRDefault="00501498" w:rsidP="00501498">
      <w:pPr>
        <w:spacing w:line="276" w:lineRule="auto"/>
        <w:jc w:val="center"/>
        <w:rPr>
          <w:rFonts w:ascii="Garamond" w:hAnsi="Garamond"/>
          <w:sz w:val="28"/>
          <w:szCs w:val="28"/>
        </w:rPr>
      </w:pPr>
    </w:p>
    <w:p w:rsidR="00501498" w:rsidRPr="00133FF9" w:rsidRDefault="00501498" w:rsidP="00501498">
      <w:pPr>
        <w:spacing w:line="276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Frente Nacional de Prefeitos</w:t>
      </w:r>
    </w:p>
    <w:p w:rsidR="00496884" w:rsidRDefault="00215870"/>
    <w:sectPr w:rsidR="00496884" w:rsidSect="00E15589">
      <w:headerReference w:type="default" r:id="rId6"/>
      <w:footerReference w:type="default" r:id="rId7"/>
      <w:pgSz w:w="11907" w:h="16840" w:code="9"/>
      <w:pgMar w:top="2268" w:right="1418" w:bottom="1276" w:left="1418" w:header="284" w:footer="50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870" w:rsidRDefault="00215870" w:rsidP="009C0611">
      <w:r>
        <w:separator/>
      </w:r>
    </w:p>
  </w:endnote>
  <w:endnote w:type="continuationSeparator" w:id="0">
    <w:p w:rsidR="00215870" w:rsidRDefault="00215870" w:rsidP="009C0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EB9" w:rsidRDefault="00193A5B" w:rsidP="00934EFF">
    <w:pPr>
      <w:pStyle w:val="Rodap"/>
      <w:ind w:left="-540" w:right="-747"/>
      <w:jc w:val="center"/>
      <w:rPr>
        <w:b/>
        <w:bCs/>
        <w:sz w:val="20"/>
      </w:rPr>
    </w:pPr>
    <w:r>
      <w:rPr>
        <w:b/>
        <w:bCs/>
        <w:sz w:val="20"/>
      </w:rPr>
      <w:t>Setor de Rádio e TV Sul (</w:t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  <w:t>SRTVS), Edifício Record, Sala 603 – Brasília (DF) – CEP.: 70340-910 - Fone (61) 3044-9800</w:t>
    </w:r>
  </w:p>
  <w:p w:rsidR="002A5EB9" w:rsidRDefault="009C0611">
    <w:pPr>
      <w:pStyle w:val="Rodap"/>
      <w:jc w:val="center"/>
      <w:rPr>
        <w:b/>
        <w:bCs/>
        <w:sz w:val="20"/>
      </w:rPr>
    </w:pPr>
    <w:hyperlink r:id="rId1" w:history="1">
      <w:r w:rsidR="00193A5B">
        <w:rPr>
          <w:rStyle w:val="Hyperlink"/>
          <w:b/>
          <w:bCs/>
          <w:sz w:val="20"/>
        </w:rPr>
        <w:t>www.fnp.org.br</w:t>
      </w:r>
    </w:hyperlink>
    <w:r w:rsidR="00193A5B">
      <w:rPr>
        <w:b/>
        <w:bCs/>
        <w:sz w:val="20"/>
      </w:rPr>
      <w:t xml:space="preserve"> - e-mail: </w:t>
    </w:r>
    <w:hyperlink r:id="rId2" w:history="1">
      <w:r w:rsidR="00193A5B" w:rsidRPr="00A724F8">
        <w:rPr>
          <w:rStyle w:val="Hyperlink"/>
          <w:b/>
          <w:bCs/>
          <w:sz w:val="20"/>
        </w:rPr>
        <w:t>secretaria@fnp.org.br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870" w:rsidRDefault="00215870" w:rsidP="009C0611">
      <w:r>
        <w:separator/>
      </w:r>
    </w:p>
  </w:footnote>
  <w:footnote w:type="continuationSeparator" w:id="0">
    <w:p w:rsidR="00215870" w:rsidRDefault="00215870" w:rsidP="009C0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EB9" w:rsidRPr="00E15589" w:rsidRDefault="00501498">
    <w:pPr>
      <w:pStyle w:val="Cabealho"/>
      <w:ind w:left="900"/>
      <w:rPr>
        <w:rFonts w:ascii="Verdana" w:hAnsi="Verdana"/>
        <w:b/>
        <w:bCs/>
        <w:sz w:val="2"/>
        <w:szCs w:val="2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257810</wp:posOffset>
          </wp:positionV>
          <wp:extent cx="3314700" cy="959485"/>
          <wp:effectExtent l="0" t="0" r="1270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3A5B">
      <w:rPr>
        <w:rFonts w:ascii="Verdana" w:hAnsi="Verdana"/>
        <w:b/>
        <w:bCs/>
        <w:sz w:val="32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01498"/>
    <w:rsid w:val="00193A5B"/>
    <w:rsid w:val="001D6050"/>
    <w:rsid w:val="00215870"/>
    <w:rsid w:val="00243236"/>
    <w:rsid w:val="00410063"/>
    <w:rsid w:val="00501498"/>
    <w:rsid w:val="00726F29"/>
    <w:rsid w:val="009C0611"/>
    <w:rsid w:val="00C173E9"/>
    <w:rsid w:val="00D8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498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01498"/>
    <w:pPr>
      <w:tabs>
        <w:tab w:val="center" w:pos="4419"/>
        <w:tab w:val="right" w:pos="8838"/>
      </w:tabs>
    </w:pPr>
    <w:rPr>
      <w:rFonts w:eastAsia="Calibri"/>
      <w:lang/>
    </w:rPr>
  </w:style>
  <w:style w:type="character" w:customStyle="1" w:styleId="CabealhoChar">
    <w:name w:val="Cabeçalho Char"/>
    <w:basedOn w:val="Fontepargpadro"/>
    <w:link w:val="Cabealho"/>
    <w:uiPriority w:val="99"/>
    <w:rsid w:val="00501498"/>
    <w:rPr>
      <w:rFonts w:ascii="Times New Roman" w:eastAsia="Calibri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501498"/>
    <w:pPr>
      <w:tabs>
        <w:tab w:val="center" w:pos="4419"/>
        <w:tab w:val="right" w:pos="8838"/>
      </w:tabs>
    </w:pPr>
    <w:rPr>
      <w:rFonts w:eastAsia="Calibri"/>
      <w:lang/>
    </w:rPr>
  </w:style>
  <w:style w:type="character" w:customStyle="1" w:styleId="RodapChar">
    <w:name w:val="Rodapé Char"/>
    <w:basedOn w:val="Fontepargpadro"/>
    <w:link w:val="Rodap"/>
    <w:uiPriority w:val="99"/>
    <w:rsid w:val="00501498"/>
    <w:rPr>
      <w:rFonts w:ascii="Times New Roman" w:eastAsia="Calibri" w:hAnsi="Times New Roman" w:cs="Times New Roman"/>
      <w:lang w:eastAsia="pt-BR"/>
    </w:rPr>
  </w:style>
  <w:style w:type="character" w:styleId="Hyperlink">
    <w:name w:val="Hyperlink"/>
    <w:uiPriority w:val="99"/>
    <w:rsid w:val="0050149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fnp.org.br" TargetMode="External"/><Relationship Id="rId1" Type="http://schemas.openxmlformats.org/officeDocument/2006/relationships/hyperlink" Target="http://www.fnp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Rusvel Beltrame Rocha</dc:creator>
  <cp:lastModifiedBy>paula.aguiar</cp:lastModifiedBy>
  <cp:revision>3</cp:revision>
  <dcterms:created xsi:type="dcterms:W3CDTF">2018-07-20T16:27:00Z</dcterms:created>
  <dcterms:modified xsi:type="dcterms:W3CDTF">2018-07-20T16:53:00Z</dcterms:modified>
</cp:coreProperties>
</file>